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12 243 / 117 vom 16. Mai 2007</w:t>
      </w:r>
    </w:p>
    <w:p>
      <w:r>
        <w:t>BL Gerichte, 2007-05-16, DE</w:t>
      </w:r>
    </w:p>
    <w:p>
      <w:r>
        <w:rPr>
          <w:b/>
        </w:rPr>
        <w:t xml:space="preserve">Quelle: </w:t>
      </w:r>
      <w:r>
        <w:t>https://mcp.opencaselaw.ch/entscheid/bl_gerichte_725 12 243 _ 117</w:t>
      </w:r>
    </w:p>
    <w:p>
      <w:r>
        <w:t>FR: BL_GERICHTE 725 12 243 / 117 du 16 mai 2007</w:t>
      </w:r>
    </w:p>
    <w:p>
      <w:r>
        <w:t>IT: BL_GERICHTE 725 12 243 / 117 del 16 maggio 2007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Liestal,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Es werden keine Verfahrenskosten erhoben.</w:t>
      </w:r>
    </w:p>
    <w:p>
      <w:r>
        <w:rPr>
          <w:b/>
        </w:rPr>
        <w:t>E. 3</w:t>
      </w:r>
    </w:p>
    <w:p>
      <w:r>
        <w:t>Die Beschwerdegegnerin hat dem Beschwerdeführer eine reduzierte Parteientschädigung in der Höhe von Fr. 2'729.70 (inkl. Auslagen und 8% Mehrwertsteuer) zu bezahlen. Im Übrigen werden die ausserordentlichen Kosten wettgeschlagen. Zufolge Bewilligung der unentgeltlichen Verbeiständung wird dem Rechtsvertreter des Beschwerdeführers ein Honorar in der Höhe von Fr. 1'977.50 (inkl. Auslagen und 8% Mehrwertsteuer) aus der Gerichts-kasse ausgerichtet. Gegen diesen Entscheid wurde vom Beschwerdeführer am 24. Oktober 2013 Beschwerde beim Bundesgericht (siehe nach Vorliegen des Urteils: Verfahrens-Nr. 8C_762/2013 )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